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ANEXO I-1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pBdr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</w:rPr>
        <w:t xml:space="preserve">1.1. Processo Administrativo nº </w:t>
      </w:r>
      <w:r>
        <w:rPr>
          <w:rFonts w:eastAsia="Arial" w:cs="Arial" w:ascii="Verdana" w:hAnsi="Verdana"/>
          <w:b/>
          <w:sz w:val="20"/>
          <w:szCs w:val="20"/>
        </w:rPr>
        <w:t>4941</w:t>
      </w:r>
      <w:r>
        <w:rPr>
          <w:rFonts w:eastAsia="Arial" w:cs="Arial" w:ascii="Verdana" w:hAnsi="Verdana"/>
          <w:b/>
          <w:color w:val="000000"/>
          <w:sz w:val="20"/>
          <w:szCs w:val="20"/>
        </w:rPr>
        <w:t>/202</w:t>
      </w:r>
      <w:r>
        <w:rPr>
          <w:rFonts w:eastAsia="Arial" w:cs="Arial" w:ascii="Verdana" w:hAnsi="Verdana"/>
          <w:b/>
          <w:sz w:val="20"/>
          <w:szCs w:val="20"/>
        </w:rPr>
        <w:t>5</w:t>
      </w:r>
      <w:r>
        <w:rPr>
          <w:rFonts w:eastAsia="Arial" w:cs="Arial" w:ascii="Verdana" w:hAnsi="Verdana"/>
          <w:b/>
          <w:color w:val="000000"/>
          <w:sz w:val="20"/>
          <w:szCs w:val="20"/>
        </w:rPr>
        <w:t xml:space="preserve">. </w:t>
      </w:r>
    </w:p>
    <w:p>
      <w:pPr>
        <w:pStyle w:val="Normal"/>
        <w:pBdr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AQUISIÇÃO DE FERRAMENTAS PARA MANUTENÇÃO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Rua: Praça Vicente Glazar, 159 – Bairro Glória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Secretaria Municipal de Educação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Tel: 27 99574-4758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Email: </w:t>
      </w:r>
      <w:r>
        <w:rPr>
          <w:rFonts w:eastAsia="Arial" w:cs="Arial" w:ascii="Verdana" w:hAnsi="Verdana"/>
          <w:sz w:val="20"/>
          <w:szCs w:val="20"/>
        </w:rPr>
        <w:t>financeirosemecsgp@gmail.com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Responsável: </w:t>
      </w:r>
      <w:r>
        <w:rPr>
          <w:rFonts w:eastAsia="Arial" w:cs="Arial" w:ascii="Verdana" w:hAnsi="Verdana"/>
          <w:sz w:val="20"/>
          <w:szCs w:val="20"/>
        </w:rPr>
        <w:t>Secretaria Municipal de Educação</w:t>
      </w:r>
    </w:p>
    <w:p>
      <w:pPr>
        <w:pStyle w:val="Normal"/>
        <w:spacing w:lineRule="auto" w:line="240"/>
        <w:ind w:right="-425" w:hanging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hd w:val="clear" w:color="auto" w:fill="FFFFFF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</w:rPr>
        <w:t>4. PREVISÃO NO PLANO DE CONTRATAÇÕES ANUAL</w:t>
      </w:r>
    </w:p>
    <w:p>
      <w:pPr>
        <w:pStyle w:val="Normal"/>
        <w:shd w:val="clear" w:color="auto" w:fill="FFFFFF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hd w:val="clear" w:color="auto" w:fill="FFFFFF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4.1. </w:t>
      </w:r>
      <w:r>
        <w:rPr>
          <w:rFonts w:eastAsia="Arial" w:cs="Arial" w:ascii="Verdana" w:hAnsi="Verdana"/>
          <w:sz w:val="20"/>
          <w:szCs w:val="20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4.2.</w:t>
      </w:r>
      <w:r>
        <w:rPr>
          <w:rFonts w:eastAsia="Arial" w:cs="Arial" w:ascii="Verdana" w:hAnsi="Verdana"/>
          <w:sz w:val="20"/>
          <w:szCs w:val="20"/>
        </w:rPr>
        <w:t xml:space="preserve"> Foi produzido documento de formalização de demanda anexo, que contempla a aquisição de equipamentos permanentes (Ferramentas).</w:t>
        <w:br/>
      </w:r>
      <w:r>
        <w:rPr>
          <w:rFonts w:eastAsia="Arial" w:cs="Arial" w:ascii="Verdana" w:hAnsi="Verdana"/>
          <w:b/>
          <w:sz w:val="20"/>
          <w:szCs w:val="20"/>
        </w:rPr>
        <w:t xml:space="preserve">4.3. </w:t>
      </w:r>
      <w:r>
        <w:rPr>
          <w:rFonts w:eastAsia="Arial" w:cs="Arial" w:ascii="Verdana" w:hAnsi="Verdana"/>
          <w:sz w:val="20"/>
          <w:szCs w:val="20"/>
        </w:rPr>
        <w:t>O contrato e/ou Ata de Registro de Preços advindos desta aquisição, poderão ser prorrogados conforme Lei. 14.133/2021, precedida de Pesquisa de Mercado, para comprovar o preço vantajoso.</w:t>
      </w:r>
    </w:p>
    <w:p>
      <w:pPr>
        <w:pStyle w:val="Normal"/>
        <w:shd w:val="clear" w:color="auto" w:fill="FFFFFF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5.1. </w:t>
      </w:r>
      <w:r>
        <w:rPr>
          <w:rFonts w:eastAsia="Arial" w:cs="Arial" w:ascii="Verdana" w:hAnsi="Verdana"/>
          <w:sz w:val="20"/>
          <w:szCs w:val="20"/>
        </w:rPr>
        <w:t>Garantir a realização de manutenção e pequenos reparos no ambiente escolar e da Secretaria Municipal de Educação.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</w:rPr>
        <w:t xml:space="preserve">5.2. </w:t>
      </w:r>
      <w:r>
        <w:rPr>
          <w:rFonts w:eastAsia="Arial" w:cs="Arial" w:ascii="Verdana" w:hAnsi="Verdana"/>
          <w:color w:val="000000"/>
          <w:sz w:val="20"/>
          <w:szCs w:val="20"/>
        </w:rPr>
        <w:t>A aquisição dos equipamentos (</w:t>
      </w:r>
      <w:r>
        <w:rPr>
          <w:rFonts w:eastAsia="Arial" w:cs="Arial" w:ascii="Verdana" w:hAnsi="Verdana"/>
          <w:sz w:val="20"/>
          <w:szCs w:val="20"/>
        </w:rPr>
        <w:t>ferramentas</w:t>
      </w:r>
      <w:r>
        <w:rPr>
          <w:rFonts w:eastAsia="Arial" w:cs="Arial" w:ascii="Verdana" w:hAnsi="Verdana"/>
          <w:color w:val="000000"/>
          <w:sz w:val="20"/>
          <w:szCs w:val="20"/>
        </w:rPr>
        <w:t xml:space="preserve">), justifica-se devido a melhorias na qualidade, </w:t>
      </w:r>
      <w:r>
        <w:rPr>
          <w:rFonts w:eastAsia="Arial" w:cs="Arial" w:ascii="Verdana" w:hAnsi="Verdana"/>
          <w:sz w:val="20"/>
          <w:szCs w:val="20"/>
        </w:rPr>
        <w:t>velocidade e execução dos serviços de pequenas manutenções e reparos nas escolas vinculadas à Secretaria Municipal de Educação, considerando que seu uso é necessário e indispensável para uma boa prestação de serviços e atendimentos às escolas e a esta secretaria</w:t>
      </w:r>
      <w:r>
        <w:rPr>
          <w:rFonts w:eastAsia="Arial" w:cs="Arial" w:ascii="Verdana" w:hAnsi="Verdana"/>
          <w:color w:val="000000"/>
          <w:sz w:val="20"/>
          <w:szCs w:val="20"/>
        </w:rPr>
        <w:t>.</w:t>
      </w:r>
    </w:p>
    <w:p>
      <w:pPr>
        <w:pStyle w:val="Normal"/>
        <w:pBdr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</w:rPr>
        <w:t xml:space="preserve">5.3. </w:t>
      </w:r>
      <w:r>
        <w:rPr>
          <w:rFonts w:eastAsia="Arial" w:cs="Arial" w:ascii="Verdana" w:hAnsi="Verdana"/>
          <w:color w:val="000000"/>
          <w:sz w:val="20"/>
          <w:szCs w:val="20"/>
        </w:rPr>
        <w:t>Diante da necessidade acima, iniciou-se o presente Estudo Técnico Preliminar por meio do qual será possível decidir qual é a melhor solução.</w:t>
      </w:r>
    </w:p>
    <w:p>
      <w:pPr>
        <w:pStyle w:val="Normal"/>
        <w:keepNext w:val="true"/>
        <w:pBdr/>
        <w:tabs>
          <w:tab w:val="clear" w:pos="720"/>
          <w:tab w:val="left" w:pos="0" w:leader="none"/>
        </w:tabs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keepNext w:val="true"/>
        <w:pBdr/>
        <w:tabs>
          <w:tab w:val="clear" w:pos="720"/>
          <w:tab w:val="left" w:pos="0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</w:rPr>
        <w:t>6. Á</w:t>
      </w:r>
      <w:r>
        <w:rPr>
          <w:rFonts w:eastAsia="Arial" w:cs="Arial" w:ascii="Verdana" w:hAnsi="Verdana"/>
          <w:b/>
          <w:sz w:val="20"/>
          <w:szCs w:val="20"/>
        </w:rPr>
        <w:t>REA REQUISITANTE</w:t>
      </w:r>
    </w:p>
    <w:p>
      <w:pPr>
        <w:pStyle w:val="Normal"/>
        <w:keepNext w:val="true"/>
        <w:pBdr/>
        <w:tabs>
          <w:tab w:val="clear" w:pos="720"/>
          <w:tab w:val="left" w:pos="0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Secretaria Municipal de Educação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7.1. </w:t>
      </w:r>
      <w:r>
        <w:rPr>
          <w:rFonts w:eastAsia="Arial" w:cs="Arial" w:ascii="Verdana" w:hAnsi="Verdana"/>
          <w:sz w:val="20"/>
          <w:szCs w:val="20"/>
        </w:rPr>
        <w:t>Para a entrega dos produtos adquiridos por esta secretaria a CONTRATADA deve: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a)</w:t>
      </w:r>
      <w:r>
        <w:rPr>
          <w:rFonts w:eastAsia="Arial" w:cs="Arial" w:ascii="Verdana" w:hAnsi="Verdana"/>
          <w:sz w:val="20"/>
          <w:szCs w:val="20"/>
        </w:rPr>
        <w:t xml:space="preserve"> Fornecer equipamentos de boa qualidade, de acordo com o resultado do processo licitatório;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b)</w:t>
      </w:r>
      <w:r>
        <w:rPr>
          <w:rFonts w:eastAsia="Arial" w:cs="Arial" w:ascii="Verdana" w:hAnsi="Verdana"/>
          <w:sz w:val="20"/>
          <w:szCs w:val="20"/>
        </w:rPr>
        <w:t xml:space="preserve"> Entregar os produtos impreterivelmente dentro do prazo estipulado por este ETP (30 dias corridos);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c)</w:t>
      </w:r>
      <w:r>
        <w:rPr>
          <w:rFonts w:eastAsia="Arial" w:cs="Arial" w:ascii="Verdana" w:hAnsi="Verdana"/>
          <w:sz w:val="20"/>
          <w:szCs w:val="20"/>
        </w:rPr>
        <w:t xml:space="preserve"> Garantir a troca dos produtos que apresentarem defeito ou vício de fabricação em até 5 (cinco) dias úteis.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d)</w:t>
      </w:r>
      <w:r>
        <w:rPr>
          <w:rFonts w:eastAsia="Arial" w:cs="Arial" w:ascii="Verdana" w:hAnsi="Verdana"/>
          <w:sz w:val="20"/>
          <w:szCs w:val="20"/>
        </w:rPr>
        <w:t xml:space="preserve"> Ofertar produtos com período mínimo de 12 meses de garantia.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 Da Qualificação Técnica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7.2.1.</w:t>
      </w:r>
      <w:r>
        <w:rPr>
          <w:rFonts w:eastAsia="Arial" w:cs="Arial" w:ascii="Verdana" w:hAnsi="Verdana"/>
          <w:sz w:val="20"/>
          <w:szCs w:val="20"/>
        </w:rPr>
        <w:tab/>
        <w:t xml:space="preserve">HABILITAÇÃO JURÍDICA: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7.2.1.1. </w:t>
      </w:r>
      <w:r>
        <w:rPr>
          <w:rFonts w:eastAsia="Arial" w:cs="Arial" w:ascii="Verdana" w:hAnsi="Verdana"/>
          <w:sz w:val="20"/>
          <w:szCs w:val="20"/>
        </w:rPr>
        <w:t>No caso de empresário individual, inscrição no Registro Público de Empresas Mercantis, a cargo da Junta Comercial da respectiva sede;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7.2.1.2.</w:t>
      </w:r>
      <w:r>
        <w:rPr>
          <w:rFonts w:eastAsia="Arial" w:cs="Arial" w:ascii="Verdana" w:hAnsi="Verdana"/>
          <w:sz w:val="20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7.2.1.3.</w:t>
      </w:r>
      <w:r>
        <w:rPr>
          <w:rFonts w:eastAsia="Arial" w:cs="Arial" w:ascii="Verdana" w:hAnsi="Verdana"/>
          <w:sz w:val="20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7.2.1.4</w:t>
      </w:r>
      <w:r>
        <w:rPr>
          <w:rFonts w:eastAsia="Arial" w:cs="Arial" w:ascii="Verdana" w:hAnsi="Verdana"/>
          <w:sz w:val="20"/>
          <w:szCs w:val="20"/>
        </w:rPr>
        <w:t>. Inscrição no Registro Público de Empresas Mercantis onde opera, com averbação no Registro onde tem sede a matriz, no caso de ser o participante sucursal, filial ou agência;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7.2.1.5.</w:t>
      </w:r>
      <w:r>
        <w:rPr>
          <w:rFonts w:eastAsia="Arial" w:cs="Arial" w:ascii="Verdana" w:hAnsi="Verdana"/>
          <w:sz w:val="20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7.2.1.6.</w:t>
      </w:r>
      <w:r>
        <w:rPr>
          <w:rFonts w:eastAsia="Arial" w:cs="Arial" w:ascii="Verdana" w:hAnsi="Verdana"/>
          <w:sz w:val="20"/>
          <w:szCs w:val="20"/>
        </w:rPr>
        <w:t xml:space="preserve"> Decreto de autorização, em se tratando de sociedade empresária estrangeira em funcionamento no País;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7.2.1.7</w:t>
      </w:r>
      <w:r>
        <w:rPr>
          <w:rFonts w:eastAsia="Arial" w:cs="Arial" w:ascii="Verdana" w:hAnsi="Verdana"/>
          <w:sz w:val="20"/>
          <w:szCs w:val="20"/>
        </w:rPr>
        <w:t>. Os documentos acima deverão estar acompanhados de todas as alterações ou da consolidação respectiva.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7.2.2.</w:t>
      </w:r>
      <w:r>
        <w:rPr>
          <w:rFonts w:eastAsia="Arial" w:cs="Arial" w:ascii="Verdana" w:hAnsi="Verdana"/>
          <w:sz w:val="20"/>
          <w:szCs w:val="20"/>
        </w:rPr>
        <w:tab/>
        <w:t xml:space="preserve"> REGULARIDADE FISCAL, SOCIAL E TRABALHISTA: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7.2.2.1. </w:t>
      </w:r>
      <w:r>
        <w:rPr>
          <w:rFonts w:eastAsia="Arial" w:cs="Arial" w:ascii="Verdana" w:hAnsi="Verdana"/>
          <w:sz w:val="20"/>
          <w:szCs w:val="20"/>
        </w:rPr>
        <w:t>Certidão de regularidade junto à fazenda pública Municipal, do domicílio do Licitante;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7.2.2.2.</w:t>
      </w:r>
      <w:r>
        <w:rPr>
          <w:rFonts w:eastAsia="Arial" w:cs="Arial" w:ascii="Verdana" w:hAnsi="Verdana"/>
          <w:sz w:val="20"/>
          <w:szCs w:val="20"/>
        </w:rPr>
        <w:t xml:space="preserve"> Certidão de regularidade junto à fazenda pública Estadual, do domicílio do Licitante;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7.2.2.3.</w:t>
      </w:r>
      <w:r>
        <w:rPr>
          <w:rFonts w:eastAsia="Arial" w:cs="Arial" w:ascii="Verdana" w:hAnsi="Verdana"/>
          <w:sz w:val="20"/>
          <w:szCs w:val="20"/>
        </w:rPr>
        <w:t xml:space="preserve"> Certidão conjunta de regularidade junto à fazenda pública Federal, (Quitação de tributos e contribuições Federais e Quanto à dívida ativa da União) e junto ao INSS, conforme Portaria MF nº 358 de 05/09/2014.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7.2.2.4. </w:t>
      </w:r>
      <w:r>
        <w:rPr>
          <w:rFonts w:eastAsia="Arial" w:cs="Arial" w:ascii="Verdana" w:hAnsi="Verdana"/>
          <w:sz w:val="20"/>
          <w:szCs w:val="20"/>
        </w:rPr>
        <w:t>Certidão de regularidade junto ao FGTS;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7.2.2.5. </w:t>
      </w:r>
      <w:r>
        <w:rPr>
          <w:rFonts w:eastAsia="Arial" w:cs="Arial" w:ascii="Verdana" w:hAnsi="Verdana"/>
          <w:sz w:val="20"/>
          <w:szCs w:val="20"/>
        </w:rPr>
        <w:t>Prova de inscrição no Cadastro Nacional de Pessoa Jurídica (cartão do CNPJ), demonstrando CNAE compatível com o produto/serviço constante neste ETP;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7.2.2.6. </w:t>
      </w:r>
      <w:r>
        <w:rPr>
          <w:rFonts w:eastAsia="Arial" w:cs="Arial" w:ascii="Verdana" w:hAnsi="Verdana"/>
          <w:sz w:val="20"/>
          <w:szCs w:val="20"/>
        </w:rPr>
        <w:t>Certidão Negativa De Débitos Trabalhistas (CNDT) de acordo com a Lei 12440 de 07 de julho de 2011.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7.2.3.</w:t>
        <w:tab/>
      </w:r>
      <w:r>
        <w:rPr>
          <w:rFonts w:eastAsia="Arial" w:cs="Arial" w:ascii="Verdana" w:hAnsi="Verdana"/>
          <w:sz w:val="20"/>
          <w:szCs w:val="20"/>
        </w:rPr>
        <w:t xml:space="preserve">QUALIFICAÇÃO ECONÔMICO-FINANCEIRA: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7.2.3.1. </w:t>
      </w:r>
      <w:r>
        <w:rPr>
          <w:rFonts w:eastAsia="Arial" w:cs="Arial" w:ascii="Verdana" w:hAnsi="Verdana"/>
          <w:sz w:val="20"/>
          <w:szCs w:val="20"/>
        </w:rPr>
        <w:t>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7.2.3.2. </w:t>
      </w:r>
      <w:r>
        <w:rPr>
          <w:rFonts w:eastAsia="Arial" w:cs="Arial" w:ascii="Verdana" w:hAnsi="Verdana"/>
          <w:sz w:val="20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7.2.3.3. </w:t>
      </w:r>
      <w:r>
        <w:rPr>
          <w:rFonts w:eastAsia="Arial" w:cs="Arial" w:ascii="Verdana" w:hAnsi="Verdana"/>
          <w:sz w:val="20"/>
          <w:szCs w:val="20"/>
        </w:rPr>
        <w:t>Para a contagem do prazo estabelecido na letra “a” deste capítulo, será contado a partir do primeiro dia que antecede a data da realização desta licitação.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7.2.3.4. </w:t>
      </w:r>
      <w:r>
        <w:rPr>
          <w:rFonts w:eastAsia="Arial" w:cs="Arial" w:ascii="Verdana" w:hAnsi="Verdana"/>
          <w:sz w:val="20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8. ESTIMATIVA DAS QUANTIDADES A SEREM CONTRATADAS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8.1. </w:t>
      </w:r>
      <w:r>
        <w:rPr>
          <w:rFonts w:eastAsia="Arial" w:cs="Arial" w:ascii="Verdana" w:hAnsi="Verdana"/>
          <w:sz w:val="20"/>
          <w:szCs w:val="20"/>
        </w:rPr>
        <w:t>A relação dos itens necessários para contemplar a solução, bem como a estimativa da quantidade a ser contratada é apresentada na tabela a seguir:</w:t>
      </w:r>
    </w:p>
    <w:p>
      <w:pPr>
        <w:pStyle w:val="Normal"/>
        <w:spacing w:lineRule="auto" w:line="240"/>
        <w:ind w:right="-425" w:hanging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tbl>
      <w:tblPr>
        <w:tblStyle w:val="a2"/>
        <w:tblW w:w="97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1" w:val="0600"/>
      </w:tblPr>
      <w:tblGrid>
        <w:gridCol w:w="705"/>
        <w:gridCol w:w="5595"/>
        <w:gridCol w:w="720"/>
        <w:gridCol w:w="1320"/>
        <w:gridCol w:w="1455"/>
      </w:tblGrid>
      <w:tr>
        <w:trPr>
          <w:trHeight w:val="199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sdt>
              <w:sdtPr>
                <w:id w:val="2116969563"/>
                <w:tag w:val="goog_rdk_0"/>
              </w:sdtPr>
              <w:sdtContent>
                <w:r>
                  <w:rPr>
                    <w:rFonts w:ascii="Verdana" w:hAnsi="Verdana"/>
                    <w:sz w:val="20"/>
                    <w:szCs w:val="20"/>
                  </w:rPr>
                  <w:t>Item</w:t>
                </w:r>
              </w:sdtContent>
            </w:sdt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Descrição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QTD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Valor un.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Valor total</w:t>
            </w:r>
          </w:p>
        </w:tc>
      </w:tr>
      <w:tr>
        <w:trPr>
          <w:trHeight w:val="859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01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 xml:space="preserve">CARRINHO DE MÃO 60L 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caçamba fabricada em aço carbono galvanizado para uma maior resistência e durabilidade. Pneu maciço com aro galvanizado, sem rolamento e tubo do varal de 1,50mm.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R$274,90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R$549,80</w:t>
            </w:r>
          </w:p>
        </w:tc>
      </w:tr>
      <w:tr>
        <w:trPr>
          <w:trHeight w:val="629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02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ESMERILHADEIRA ANGULAR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4-1/2" - bivolt - diâmetro do disco 115mm - potência min. 900w - min. 12 meses de garantia.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R$398,97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R$398,97</w:t>
            </w:r>
          </w:p>
        </w:tc>
      </w:tr>
      <w:tr>
        <w:trPr>
          <w:trHeight w:val="3669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03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 xml:space="preserve">KIT DE FERRAMENTAS 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 xml:space="preserve">MALETA COM 129 PEÇAS, CONTENDO: Alicate Bico Meia Cana Reto 6,5; Alicate Corte Diagonal 6,5; Alicate Prensa Terminal; Cabo anatômico com catraca para bits; 4 Chaves de precisão; Chave ajustável (inglesa) de 6; Estilete 9mm; Martelo unha 250g com cabo metálico emborrachado; Nível 9 (230mm) com 3 bolhas; 10 Parafusos 6mm com cabeça chata, zincados, Phillips; 46 Pregos de aço com cabeça 20mm; 5 Parafusos máquina, cabeça redonda, com porca sextavada; 4 Ganchos; Buchas plásticas para fixação (6 x 25mm); Trena (3,5m x 12mm); 20 Bits, sendo 4 bits Allen: H3 – H4 – H5 – H6, 2 bits quadrados: S1 – S2, 4 bits Torx: T10 – T15 – T20 – T25, 3 bits Pozidrive: 0 – 1 – 2, 3 bits Phillips: PH1– PH2 – PH3, 3 bits Fenda: 3 – 4 – 5, 1 adaptador; 16 Chaves Allen, 8 (mm): 1,5 – 2 – 2,5 – 3 – 4 – 5 – 5,5 – 6mm, 8 (pol.): 1/16 – 5/64 – 3/32 – 1/8 – 5/32 – 3/16 – 7/32 – 1/4;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R$117,89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R$235,78</w:t>
            </w:r>
          </w:p>
        </w:tc>
      </w:tr>
      <w:tr>
        <w:trPr>
          <w:trHeight w:val="2329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04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 xml:space="preserve">MARTELETE PERFURADOR ROMPEDOR com funções de: furadeira, furadeira de impacto e rompedor. Mandril SDS-Plus para facilitar a instalação de acessórios. Botão de trava de acionamento para uso prolongado. Botão seletor de rotação para configuração da ferramenta de acordo com o trabalho. Ideal para perfurar concreto, alvenaria e metal. 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Tensão: 110V ou BIVOLT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Potência: mínimo de 800W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Força de Impacto: mínimo de 4.0 J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Garantia de 12 meses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R$479,90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R$479,90</w:t>
            </w:r>
          </w:p>
        </w:tc>
      </w:tr>
      <w:tr>
        <w:trPr>
          <w:trHeight w:val="510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05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 xml:space="preserve">MOTO ESMERIL 6 POL 360W 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bivolt, 60hz, 12 meses de garantia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R$199,90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R$199,90</w:t>
            </w:r>
          </w:p>
        </w:tc>
      </w:tr>
      <w:tr>
        <w:trPr>
          <w:trHeight w:val="524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06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MOTOSSERRA A GASOLINA POTÊNCIA MÍNIMA DE 1,3KW, CILINDRADA MÍNIMA DE 30,0/CM³, SABRE DE NO mínimo 30cm. peso de 3,9kg - com garantia de 12 meses.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R$1.117,90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R$1.117,90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07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SERRA MÁRMORE 4-3/8, 1200W, 127V COM AS SEGUINTES CARACTERÍSTICAS: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potência (watts): 1200 watts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velocidade: 13000 rpm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dimensões ( lxaxp): 23x17,5x24cm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voltagem: 127v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itens inclusos: disco diamantado, mangueira e registro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capacidade do disco: 4-3/8 (110mm)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fácil acesso a troca de escovas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ajuste rápido de profundidade de corte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interruptor selado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interruptor com bloqueio para uso contínuo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cabo: 2 metros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base: de aço para serviços pesados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empunhadeira: ergonômica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- garantia: 12 meses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R$189,90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R$189,90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08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SOPRADOR DE AR A GASOLINA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Capacidade mínima de tanque: 650ml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Velocidade mínima do ar: 280km/h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Garantia de 12 meses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R$915,90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R$1.831,00</w:t>
            </w:r>
          </w:p>
        </w:tc>
      </w:tr>
      <w:tr>
        <w:trPr>
          <w:trHeight w:val="1399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09</w:t>
            </w:r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TORNO DE BANCADA 5 POLEGADAS COM BIGORNA EM AÇO NODULAR, BASE GIRATÓRIA 360°, FIXAÇÃO DUPLA PARA maior estabilidade, furo de aço com rosca trapezoidal que permite um movimento leve na aproximação e no afastamento dos mordentes com aperto seguro e firme; abertura: 125 mm; força de aperto: 1500 kg; peso: 16,5 kg. Garantia de 12 meses.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01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R$199,90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sz w:val="20"/>
                <w:szCs w:val="20"/>
              </w:rPr>
              <w:t>R$199,90</w:t>
            </w:r>
          </w:p>
        </w:tc>
      </w:tr>
      <w:tr>
        <w:trPr>
          <w:trHeight w:val="304" w:hRule="atLeast"/>
        </w:trPr>
        <w:tc>
          <w:tcPr>
            <w:tcW w:w="7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Valor estimado total da contratação:</w:t>
            </w:r>
          </w:p>
        </w:tc>
        <w:tc>
          <w:tcPr>
            <w:tcW w:w="2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R$5.203,05</w:t>
            </w:r>
          </w:p>
        </w:tc>
      </w:tr>
    </w:tbl>
    <w:p>
      <w:pPr>
        <w:pStyle w:val="Normal"/>
        <w:spacing w:lineRule="auto" w:line="240"/>
        <w:ind w:right="-425" w:hanging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ESTIMATIVA DO VALOR DA CONTRATAÇÃO: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9.1 </w:t>
      </w:r>
      <w:r>
        <w:rPr>
          <w:rFonts w:eastAsia="Arial" w:cs="Arial" w:ascii="Verdana" w:hAnsi="Verdana"/>
          <w:sz w:val="20"/>
          <w:szCs w:val="2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9.2. </w:t>
      </w:r>
      <w:r>
        <w:rPr>
          <w:rFonts w:eastAsia="Arial" w:cs="Arial" w:ascii="Verdana" w:hAnsi="Verdana"/>
          <w:sz w:val="20"/>
          <w:szCs w:val="20"/>
        </w:rPr>
        <w:t>Conforme os requisitos estabelecidos para a contratação, foi realizada pesquisa de mercado, em loja online especializada na comercialização dos referidos produtos, cadastrada no endereço https://www.lojadomecanico.com.br/.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9.3. </w:t>
      </w:r>
      <w:r>
        <w:rPr>
          <w:rFonts w:eastAsia="Arial" w:cs="Arial" w:ascii="Verdana" w:hAnsi="Verdana"/>
          <w:sz w:val="20"/>
          <w:szCs w:val="20"/>
        </w:rPr>
        <w:t>O valor estimado da contratação em tela é de</w:t>
      </w:r>
      <w:r>
        <w:rPr>
          <w:rFonts w:eastAsia="Arial" w:cs="Arial" w:ascii="Verdana" w:hAnsi="Verdana"/>
          <w:b/>
          <w:sz w:val="20"/>
          <w:szCs w:val="20"/>
        </w:rPr>
        <w:t xml:space="preserve"> R$5.203,05. (cinco mil, duzentos e três reais e cinco centavos), </w:t>
      </w:r>
      <w:r>
        <w:rPr>
          <w:rFonts w:eastAsia="Arial" w:cs="Arial" w:ascii="Verdana" w:hAnsi="Verdana"/>
          <w:sz w:val="20"/>
          <w:szCs w:val="20"/>
        </w:rPr>
        <w:t xml:space="preserve">constante na planilha no item 8.1. 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10. DESCRIÇÃO DA SOLUÇÃO COMO UM TODO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10.1</w:t>
      </w:r>
      <w:r>
        <w:rPr>
          <w:rFonts w:eastAsia="Arial" w:cs="Arial" w:ascii="Verdana" w:hAnsi="Verdana"/>
          <w:sz w:val="20"/>
          <w:szCs w:val="20"/>
        </w:rPr>
        <w:t xml:space="preserve"> A solução a ser adotada consiste na</w:t>
      </w:r>
      <w:r>
        <w:rPr>
          <w:rFonts w:eastAsia="Arial" w:cs="Arial" w:ascii="Verdana" w:hAnsi="Verdana"/>
          <w:color w:val="000000"/>
          <w:sz w:val="20"/>
          <w:szCs w:val="20"/>
        </w:rPr>
        <w:t xml:space="preserve"> Aquisição, para fornecimento de material permanente (</w:t>
      </w:r>
      <w:r>
        <w:rPr>
          <w:rFonts w:eastAsia="Arial" w:cs="Arial" w:ascii="Verdana" w:hAnsi="Verdana"/>
          <w:sz w:val="20"/>
          <w:szCs w:val="20"/>
        </w:rPr>
        <w:t>ferramentas</w:t>
      </w:r>
      <w:r>
        <w:rPr>
          <w:rFonts w:eastAsia="Arial" w:cs="Arial" w:ascii="Verdana" w:hAnsi="Verdana"/>
          <w:color w:val="000000"/>
          <w:sz w:val="20"/>
          <w:szCs w:val="20"/>
        </w:rPr>
        <w:t xml:space="preserve">), para atendimento das necessidades da </w:t>
      </w:r>
      <w:r>
        <w:rPr>
          <w:rFonts w:eastAsia="Arial" w:cs="Arial" w:ascii="Verdana" w:hAnsi="Verdana"/>
          <w:sz w:val="20"/>
          <w:szCs w:val="20"/>
        </w:rPr>
        <w:t>Secretari</w:t>
      </w:r>
      <w:r>
        <w:rPr>
          <w:rFonts w:eastAsia="Arial" w:cs="Arial" w:ascii="Verdana" w:hAnsi="Verdana"/>
          <w:color w:val="000000"/>
          <w:sz w:val="20"/>
          <w:szCs w:val="20"/>
        </w:rPr>
        <w:t xml:space="preserve">a Municipal de </w:t>
      </w:r>
      <w:r>
        <w:rPr>
          <w:rFonts w:eastAsia="Arial" w:cs="Arial" w:ascii="Verdana" w:hAnsi="Verdana"/>
          <w:sz w:val="20"/>
          <w:szCs w:val="20"/>
        </w:rPr>
        <w:t>Educação e das escolas a ela vinculada</w:t>
      </w:r>
      <w:r>
        <w:rPr>
          <w:rFonts w:eastAsia="Arial" w:cs="Arial" w:ascii="Verdana" w:hAnsi="Verdana"/>
          <w:color w:val="000000"/>
          <w:sz w:val="20"/>
          <w:szCs w:val="20"/>
        </w:rPr>
        <w:t>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10.2.</w:t>
      </w:r>
      <w:r>
        <w:rPr>
          <w:rFonts w:eastAsia="Arial" w:cs="Arial" w:ascii="Verdana" w:hAnsi="Verdana"/>
          <w:sz w:val="20"/>
          <w:szCs w:val="20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 xml:space="preserve">10.3. </w:t>
      </w:r>
      <w:r>
        <w:rPr>
          <w:rFonts w:eastAsia="Arial" w:cs="Arial" w:ascii="Verdana" w:hAnsi="Verdana"/>
          <w:sz w:val="20"/>
          <w:szCs w:val="20"/>
          <w:u w:val="single"/>
        </w:rPr>
        <w:t>A aquisição dos produtos será por meio de entrega única do item, sendo necessária a emissão de autorização de fornecimento dos itens concedendo o prazo de até 30 dias corridos para a entrega, dispensada a formalização de contrato, sendo este substituído pela emissão da nota de empenho e ordem  de serviços.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10.4</w:t>
      </w:r>
      <w:r>
        <w:rPr>
          <w:rFonts w:eastAsia="Arial" w:cs="Arial" w:ascii="Verdana" w:hAnsi="Verdana"/>
          <w:b/>
          <w:sz w:val="20"/>
          <w:szCs w:val="20"/>
        </w:rPr>
        <w:t>.</w:t>
      </w:r>
      <w:r>
        <w:rPr>
          <w:rFonts w:eastAsia="Arial" w:cs="Arial" w:ascii="Verdana" w:hAnsi="Verdana"/>
          <w:sz w:val="20"/>
          <w:szCs w:val="20"/>
        </w:rPr>
        <w:t xml:space="preserve"> Os equipamentos deverão ser entregues diretamente na Secretaria Municipal de Educação, que ficará responsável por acompanhar a entrega dos produtos, recebimento e conferência das especificações contidas no  processo de aquisição, das 12h às 18h, de segunda a quinta feira e das 07:00h às 13:00h na sexta-feira, observando-se os dias de funcionamento, juntamente com a Nota Fiscal, pelo prazo de até </w:t>
      </w:r>
      <w:r>
        <w:rPr>
          <w:rFonts w:eastAsia="Arial" w:cs="Arial" w:ascii="Verdana" w:hAnsi="Verdana"/>
          <w:b/>
          <w:sz w:val="20"/>
          <w:szCs w:val="20"/>
        </w:rPr>
        <w:t>30 (trinta) dias corridos</w:t>
      </w:r>
      <w:r>
        <w:rPr>
          <w:rFonts w:eastAsia="Arial" w:cs="Arial" w:ascii="Verdana" w:hAnsi="Verdana"/>
          <w:sz w:val="20"/>
          <w:szCs w:val="20"/>
        </w:rPr>
        <w:t xml:space="preserve"> a contar do recebimento da Autorização de Fornecimento, emitida pelo Departamento Municipal de Compras e Contratos.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10.5.</w:t>
      </w:r>
      <w:r>
        <w:rPr>
          <w:rFonts w:eastAsia="Arial" w:cs="Arial" w:ascii="Verdana" w:hAnsi="Verdana"/>
          <w:sz w:val="20"/>
          <w:szCs w:val="20"/>
        </w:rPr>
        <w:t xml:space="preserve"> A entrega deverá ocorrer sem qualquer ônus adicional, bem como a descarga e todas as demais despesas provenientes da mesma, previamente agendada com a Secretaria Municipal de Educação;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10.6.</w:t>
      </w:r>
      <w:r>
        <w:rPr>
          <w:rFonts w:eastAsia="Arial" w:cs="Arial" w:ascii="Verdana" w:hAnsi="Verdana"/>
          <w:sz w:val="20"/>
          <w:szCs w:val="20"/>
        </w:rPr>
        <w:t xml:space="preserve"> A Empresa vencedora garantirá a qualidade dos materiais obrigando-se a repor aquele que apresentar defeito ou for entregue em desacordo com o apresentado na proposta;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10.7.</w:t>
      </w:r>
      <w:r>
        <w:rPr>
          <w:rFonts w:eastAsia="Arial" w:cs="Arial" w:ascii="Verdana" w:hAnsi="Verdana"/>
          <w:sz w:val="20"/>
          <w:szCs w:val="20"/>
        </w:rPr>
        <w:t xml:space="preserve"> O recebimento </w:t>
      </w:r>
      <w:r>
        <w:rPr>
          <w:rFonts w:eastAsia="Arial" w:cs="Arial" w:ascii="Verdana" w:hAnsi="Verdana"/>
          <w:b/>
          <w:sz w:val="20"/>
          <w:szCs w:val="20"/>
        </w:rPr>
        <w:t>provisório</w:t>
      </w:r>
      <w:r>
        <w:rPr>
          <w:rFonts w:eastAsia="Arial" w:cs="Arial" w:ascii="Verdana" w:hAnsi="Verdana"/>
          <w:sz w:val="20"/>
          <w:szCs w:val="20"/>
        </w:rPr>
        <w:t xml:space="preserve"> dos equipamentos entregue dar-se-á pela conferência com a descrição constante da ordem de fornecimento ou serviço;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10.8.</w:t>
      </w:r>
      <w:r>
        <w:rPr>
          <w:rFonts w:eastAsia="Arial" w:cs="Arial" w:ascii="Verdana" w:hAnsi="Verdana"/>
          <w:sz w:val="20"/>
          <w:szCs w:val="20"/>
        </w:rPr>
        <w:t xml:space="preserve"> O recebimento </w:t>
      </w:r>
      <w:r>
        <w:rPr>
          <w:rFonts w:eastAsia="Arial" w:cs="Arial" w:ascii="Verdana" w:hAnsi="Verdana"/>
          <w:b/>
          <w:sz w:val="20"/>
          <w:szCs w:val="20"/>
        </w:rPr>
        <w:t>definitivo</w:t>
      </w:r>
      <w:r>
        <w:rPr>
          <w:rFonts w:eastAsia="Arial" w:cs="Arial" w:ascii="Verdana" w:hAnsi="Verdana"/>
          <w:sz w:val="20"/>
          <w:szCs w:val="20"/>
        </w:rPr>
        <w:t xml:space="preserve"> ocorrerá com a verificação integral das características do produto fornecido pela CONTRATADA;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10.9.</w:t>
      </w:r>
      <w:r>
        <w:rPr>
          <w:rFonts w:eastAsia="Arial" w:cs="Arial" w:ascii="Verdana" w:hAnsi="Verdana"/>
          <w:sz w:val="20"/>
          <w:szCs w:val="20"/>
        </w:rPr>
        <w:t xml:space="preserve"> O recebimento definitivo não isenta a CONTRATADA de responsabilidades futuras quanto à qualidade dos fornecimentos e serviços prestados.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10.10. </w:t>
      </w:r>
      <w:r>
        <w:rPr>
          <w:rFonts w:eastAsia="Arial" w:cs="Arial" w:ascii="Verdana" w:hAnsi="Verdana"/>
          <w:sz w:val="20"/>
          <w:szCs w:val="20"/>
        </w:rPr>
        <w:t>O recebimento provisório dos produtos não implica em aceitação dos mesmos;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10.11.</w:t>
      </w:r>
      <w:r>
        <w:rPr>
          <w:rFonts w:eastAsia="Arial" w:cs="Arial" w:ascii="Verdana" w:hAnsi="Verdana"/>
          <w:sz w:val="20"/>
          <w:szCs w:val="20"/>
        </w:rPr>
        <w:t xml:space="preserve"> Os equipamentos que não estiverem de acordo com as especificações exigidas, apresentem vício de qualidade ou impropriedade para o uso, serão recusados e devolvidos parcial ou totalmente, conforme caso, ficando a CONTRATADA, obrigada a substituí-los no prazo de 5 (cinco) dias úteis, contadas do recebimento da notificação escrita, sob pena de incorrer em atraso quanto ao prazo de execução;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10.12.</w:t>
      </w:r>
      <w:r>
        <w:rPr>
          <w:rFonts w:eastAsia="Arial" w:cs="Arial" w:ascii="Verdana" w:hAnsi="Verdana"/>
          <w:sz w:val="20"/>
          <w:szCs w:val="20"/>
        </w:rPr>
        <w:t xml:space="preserve"> Havendo erro na Nota Fiscal ou outra circunstância impeditiva, o recebimento definitivo será suspenso, até que a empresa tome as medidas saneadoras necessárias;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 xml:space="preserve">10.13. </w:t>
      </w:r>
      <w:r>
        <w:rPr>
          <w:rFonts w:eastAsia="Arial" w:cs="Arial" w:ascii="Verdana" w:hAnsi="Verdana"/>
          <w:sz w:val="20"/>
          <w:szCs w:val="20"/>
          <w:u w:val="single"/>
        </w:rPr>
        <w:t>A aquisição deverá obedecer, no que couber, ao disposto na Lei n.º 14.133/2021 e suas alterações.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ind w:right="-425" w:hanging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11.1.</w:t>
      </w:r>
      <w:r>
        <w:rPr>
          <w:rFonts w:eastAsia="Arial" w:cs="Arial" w:ascii="Verdana" w:hAnsi="Verdana"/>
          <w:sz w:val="20"/>
          <w:szCs w:val="20"/>
        </w:rPr>
        <w:t xml:space="preserve"> O objeto da contratação será composto por 9 itens, de preço total estimado orçado pela Secretaria de Educação no valor</w:t>
      </w:r>
      <w:r>
        <w:rPr>
          <w:rFonts w:eastAsia="Arial" w:cs="Arial" w:ascii="Verdana" w:hAnsi="Verdana"/>
          <w:b/>
          <w:sz w:val="20"/>
          <w:szCs w:val="20"/>
        </w:rPr>
        <w:t xml:space="preserve"> R$5.203,05. (cinco mil, duzentos e três reais e cinco centavos). </w:t>
      </w:r>
      <w:r>
        <w:rPr>
          <w:rFonts w:eastAsia="Arial" w:cs="Arial" w:ascii="Verdana" w:hAnsi="Verdana"/>
          <w:sz w:val="20"/>
          <w:szCs w:val="20"/>
        </w:rPr>
        <w:t xml:space="preserve">Para fins de classificação, será considerado o </w:t>
      </w:r>
      <w:r>
        <w:rPr>
          <w:rFonts w:eastAsia="Arial" w:cs="Arial" w:ascii="Verdana" w:hAnsi="Verdana"/>
          <w:b/>
          <w:sz w:val="20"/>
          <w:szCs w:val="20"/>
        </w:rPr>
        <w:t>menor preço unitário</w:t>
      </w:r>
      <w:r>
        <w:rPr>
          <w:rFonts w:eastAsia="Arial" w:cs="Arial" w:ascii="Verdana" w:hAnsi="Verdana"/>
          <w:sz w:val="20"/>
          <w:szCs w:val="2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11.2. </w:t>
      </w:r>
      <w:r>
        <w:rPr>
          <w:rFonts w:eastAsia="Arial" w:cs="Arial" w:ascii="Verdana" w:hAnsi="Verdana"/>
          <w:sz w:val="20"/>
          <w:szCs w:val="20"/>
        </w:rPr>
        <w:t xml:space="preserve">Neste </w:t>
      </w:r>
      <w:r>
        <w:rPr>
          <w:rFonts w:eastAsia="Arial" w:cs="Arial" w:ascii="Verdana" w:hAnsi="Verdana"/>
          <w:b/>
          <w:sz w:val="20"/>
          <w:szCs w:val="20"/>
        </w:rPr>
        <w:t>procedimento licitatório</w:t>
      </w:r>
      <w:r>
        <w:rPr>
          <w:rFonts w:eastAsia="Arial" w:cs="Arial" w:ascii="Verdana" w:hAnsi="Verdana"/>
          <w:sz w:val="20"/>
          <w:szCs w:val="20"/>
        </w:rPr>
        <w:t xml:space="preserve"> será sagrada vencedora o fornecedor apresentar o menor preço, que poderá ser utilizado o </w:t>
      </w:r>
      <w:r>
        <w:rPr>
          <w:rFonts w:eastAsia="Arial" w:cs="Arial" w:ascii="Verdana" w:hAnsi="Verdana"/>
          <w:b/>
          <w:sz w:val="20"/>
          <w:szCs w:val="20"/>
        </w:rPr>
        <w:t xml:space="preserve">critério de menor preço por item.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11.3.</w:t>
      </w:r>
      <w:r>
        <w:rPr>
          <w:rFonts w:eastAsia="Arial" w:cs="Arial" w:ascii="Verdana" w:hAnsi="Verdana"/>
          <w:sz w:val="20"/>
          <w:szCs w:val="20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color w:val="0000FF"/>
          <w:sz w:val="20"/>
          <w:szCs w:val="20"/>
        </w:rPr>
      </w:pPr>
      <w:r>
        <w:rPr>
          <w:rFonts w:eastAsia="Arial" w:cs="Arial" w:ascii="Verdana" w:hAnsi="Verdana"/>
          <w:b/>
          <w:color w:val="0000FF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12.1</w:t>
      </w:r>
      <w:r>
        <w:rPr>
          <w:rFonts w:eastAsia="Arial" w:cs="Arial" w:ascii="Verdana" w:hAnsi="Verdana"/>
          <w:sz w:val="20"/>
          <w:szCs w:val="20"/>
        </w:rPr>
        <w:t xml:space="preserve"> Os resultados pretendidos com a contratação têm como pilar a melhoria no atendimento aos estudantes e funcionários das Escolas da Rede de Ensino Municipal, garantindo a qualidade e funcionamento correto das instalações no ambiente escolar.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13.1. </w:t>
      </w:r>
      <w:r>
        <w:rPr>
          <w:rFonts w:eastAsia="Arial" w:cs="Arial" w:ascii="Verdana" w:hAnsi="Verdana"/>
          <w:sz w:val="20"/>
          <w:szCs w:val="20"/>
        </w:rPr>
        <w:t xml:space="preserve">A Administração Pública contará com esta Secretaria como </w:t>
      </w:r>
      <w:r>
        <w:rPr>
          <w:rFonts w:eastAsia="Arial" w:cs="Arial" w:ascii="Verdana" w:hAnsi="Verdana"/>
          <w:color w:val="000000"/>
          <w:sz w:val="20"/>
          <w:szCs w:val="20"/>
        </w:rPr>
        <w:t>responsável por acompanhar a entrega dos produtos,</w:t>
      </w:r>
      <w:r>
        <w:rPr>
          <w:rFonts w:eastAsia="Arial" w:cs="Arial" w:ascii="Verdana" w:hAnsi="Verdana"/>
          <w:sz w:val="20"/>
          <w:szCs w:val="20"/>
        </w:rPr>
        <w:t xml:space="preserve"> recebimento e conferência das especificações contidas no  processo de aquisição.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14.1.</w:t>
      </w:r>
      <w:r>
        <w:rPr>
          <w:rFonts w:eastAsia="Arial" w:cs="Arial" w:ascii="Verdana" w:hAnsi="Verdana"/>
          <w:sz w:val="20"/>
          <w:szCs w:val="20"/>
        </w:rPr>
        <w:t xml:space="preserve"> Não se verificam contratações correlatas ou interdependentes para a viabilidade e contratação desta demanda.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15. POSSÍVEIS IMPACTOS AMBIENTAIS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15.1. </w:t>
      </w:r>
      <w:r>
        <w:rPr>
          <w:rFonts w:eastAsia="Arial" w:cs="Arial" w:ascii="Verdana" w:hAnsi="Verdana"/>
          <w:sz w:val="20"/>
          <w:szCs w:val="20"/>
        </w:rPr>
        <w:t>A compra destes equipamentos diminuirá o descarte de itens que poderão ser reparados, impactando positivamente na redução da produção de resíduos. Em adendo, os itens que possivelmente necessitarão de descarte, deverão ser destinados a locais apropriados à cada tipo de resíduo, verificando-se a possibilidade de reutilização ou reciclagem dos mesmos, de acordo com as normas pertinentes.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16.1. </w:t>
      </w:r>
      <w:r>
        <w:rPr>
          <w:rFonts w:eastAsia="Arial" w:cs="Arial" w:ascii="Verdana" w:hAnsi="Verdana"/>
          <w:sz w:val="20"/>
          <w:szCs w:val="20"/>
        </w:rPr>
        <w:t>Considerando a necessidade de pequenas manutenções e reparos no ambiente escolar e desta secretaria, de forma a garantir um bom funcionamento de suas dependências e proporcionar aos alunos e funcionários um ambiente de estudo e trabalho adequados, decidiu-se pela aquisição dos produtos.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16.2. </w:t>
      </w:r>
      <w:r>
        <w:rPr>
          <w:rFonts w:eastAsia="Arial"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/>
        <w:jc w:val="right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 xml:space="preserve">São Gabriel da Palha, 18 de julho de 2025. </w:t>
      </w:r>
    </w:p>
    <w:p>
      <w:pPr>
        <w:pStyle w:val="Normal"/>
        <w:spacing w:lineRule="auto" w:line="240"/>
        <w:jc w:val="right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17. RESPONSÁVEIS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Elaborado por:</w:t>
        <w:tab/>
        <w:tab/>
        <w:tab/>
        <w:tab/>
        <w:tab/>
        <w:t>Autorizado por:</w:t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Baahra Gonçalves de Sousa</w:t>
        <w:tab/>
        <w:tab/>
        <w:tab/>
        <w:t>Jane Lislie Martinelli dos Santos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Assistente Administrativo</w:t>
        <w:tab/>
        <w:tab/>
        <w:tab/>
        <w:tab/>
        <w:t>Secretária Municipal de Educação Interina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Matrícula nº 9043</w:t>
        <w:tab/>
        <w:tab/>
        <w:tab/>
        <w:tab/>
        <w:tab/>
        <w:t>Decreto nº 4.765/2025</w:t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1276" w:bottom="2003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Ecofont_Spranq_eco_Sans">
    <w:charset w:val="00"/>
    <w:family w:val="roman"/>
    <w:pitch w:val="variable"/>
  </w:font>
  <w:font w:name="Georgia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20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Fonts w:eastAsia="Tahoma" w:cs="Tahoma" w:ascii="Tahoma" w:hAnsi="Tahoma"/>
        <w:sz w:val="18"/>
        <w:szCs w:val="18"/>
      </w:rPr>
      <w:t>Praça Vicente Glazar, 159 | São Gabriel da Palha-ES | CEP 29780 000</w:t>
    </w:r>
  </w:p>
  <w:p>
    <w:pPr>
      <w:pStyle w:val="Normal"/>
      <w:jc w:val="center"/>
      <w:rPr/>
    </w:pPr>
    <w:r>
      <w:rPr>
        <w:rFonts w:eastAsia="Tahoma" w:cs="Tahoma" w:ascii="Tahoma" w:hAnsi="Tahoma"/>
        <w:sz w:val="18"/>
        <w:szCs w:val="18"/>
      </w:rPr>
      <w:t>Fone/Fax (027) 99574-4758 | E-mail: financeirosemecsgp@gmail.com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rPr>
        <w:rFonts w:eastAsia="Verdana" w:cs="Verdana" w:ascii="Verdana" w:hAnsi="Verdana"/>
        <w:sz w:val="26"/>
        <w:szCs w:val="26"/>
      </w:rPr>
      <w:t>PREFEITURA MUNICIPAL DE SÃO GABRIEL DA PALHA</w:t>
    </w:r>
    <w:r>
      <w:rPr>
        <w:rFonts w:eastAsia="Verdana" w:cs="Verdana" w:ascii="Verdana" w:hAnsi="Verdana"/>
        <w:b/>
        <w:sz w:val="26"/>
        <w:szCs w:val="26"/>
      </w:rPr>
      <w:br/>
    </w:r>
    <w:r>
      <w:rPr>
        <w:rFonts w:eastAsia="Calibri" w:cs="Calibri" w:ascii="Calibri" w:hAnsi="Calibri"/>
        <w:sz w:val="22"/>
        <w:szCs w:val="22"/>
      </w:rPr>
      <w:t>ESTADO DO ESPÍRITO SANTO</w:t>
    </w:r>
    <w:r>
      <w:rPr>
        <w:rFonts w:eastAsia="Verdana" w:cs="Verdana" w:ascii="Verdana" w:hAnsi="Verdana"/>
        <w:b/>
        <w:sz w:val="22"/>
        <w:szCs w:val="22"/>
      </w:rPr>
      <w:br/>
    </w:r>
    <w:r>
      <w:rPr>
        <w:rFonts w:eastAsia="Arial Narrow" w:cs="Arial Narrow" w:ascii="Arial Narrow" w:hAnsi="Arial Narrow"/>
        <w:b/>
        <w:sz w:val="22"/>
        <w:szCs w:val="22"/>
      </w:rPr>
      <w:drawing>
        <wp:anchor behindDoc="1" distT="0" distB="0" distL="152400" distR="120015" simplePos="0" locked="0" layoutInCell="0" allowOverlap="1" relativeHeight="7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1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" t="-45" r="-40" b="-45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Arial Narrow" w:cs="Arial Narrow" w:ascii="Arial Narrow" w:hAnsi="Arial Narrow"/>
        <w:b/>
        <w:sz w:val="22"/>
        <w:szCs w:val="22"/>
      </w:rPr>
      <w:t>Secretaria Municipal de Educação</w:t>
    </w:r>
  </w:p>
  <w:p>
    <w:pPr>
      <w:pStyle w:val="Normal"/>
      <w:pBdr/>
      <w:tabs>
        <w:tab w:val="clear" w:pos="720"/>
        <w:tab w:val="center" w:pos="4419" w:leader="none"/>
        <w:tab w:val="right" w:pos="8838" w:leader="none"/>
      </w:tabs>
      <w:rPr>
        <w:rFonts w:ascii="Arial Narrow" w:hAnsi="Arial Narrow" w:eastAsia="Arial Narrow" w:cs="Arial Narrow"/>
        <w:b/>
        <w:color w:val="000000"/>
        <w:sz w:val="22"/>
        <w:szCs w:val="22"/>
      </w:rPr>
    </w:pPr>
    <w:r>
      <w:rPr>
        <w:rFonts w:eastAsia="Arial Narrow" w:cs="Arial Narrow" w:ascii="Arial Narrow" w:hAnsi="Arial Narrow"/>
        <w:b/>
        <w:color w:val="000000"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pt-BR" w:bidi="ar-SA"/>
    </w:rPr>
  </w:style>
  <w:style w:type="paragraph" w:styleId="Ttulo1">
    <w:name w:val="Heading 1"/>
    <w:basedOn w:val="Normal"/>
    <w:next w:val="Normal"/>
    <w:uiPriority w:val="9"/>
    <w:qFormat/>
    <w:pPr>
      <w:keepNext w:val="true"/>
      <w:tabs>
        <w:tab w:val="clear" w:pos="720"/>
        <w:tab w:val="left" w:pos="0" w:leader="none"/>
      </w:tabs>
      <w:ind w:left="432" w:hanging="432"/>
      <w:jc w:val="center"/>
      <w:outlineLvl w:val="0"/>
    </w:pPr>
    <w:rPr>
      <w:b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 w:val="true"/>
      <w:tabs>
        <w:tab w:val="clear" w:pos="720"/>
        <w:tab w:val="left" w:pos="0" w:leader="none"/>
      </w:tabs>
      <w:ind w:left="576" w:hanging="576"/>
      <w:outlineLvl w:val="1"/>
    </w:pPr>
    <w:rPr>
      <w:b/>
      <w:sz w:val="24"/>
      <w:szCs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 w:val="tru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 w:val="true"/>
      <w:tabs>
        <w:tab w:val="clear" w:pos="720"/>
        <w:tab w:val="left" w:pos="0" w:leader="none"/>
      </w:tabs>
      <w:ind w:left="864" w:hanging="864"/>
      <w:outlineLvl w:val="3"/>
    </w:pPr>
    <w:rPr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</w:rPr>
  </w:style>
  <w:style w:type="paragraph" w:styleId="Ttulo8">
    <w:name w:val="Heading 8"/>
    <w:basedOn w:val="Normal"/>
    <w:next w:val="Normal"/>
    <w:qFormat/>
    <w:pPr>
      <w:tabs>
        <w:tab w:val="clear" w:pos="720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Symbol" w:hAnsi="Symbol" w:eastAsia="Times New Roman" w:cs="Times New Roman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Pr>
      <w:vanish/>
    </w:rPr>
  </w:style>
  <w:style w:type="character" w:styleId="Fontepargpadro3" w:customStyle="1">
    <w:name w:val="Fonte parág. padrão3"/>
    <w:qFormat/>
    <w:rPr/>
  </w:style>
  <w:style w:type="character" w:styleId="Fontepargpadro2" w:customStyle="1">
    <w:name w:val="Fonte parág. padrão2"/>
    <w:qFormat/>
    <w:rPr/>
  </w:style>
  <w:style w:type="character" w:styleId="WW8Num4z0" w:customStyle="1">
    <w:name w:val="WW8Num4z0"/>
    <w:qFormat/>
    <w:rPr>
      <w:b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>
      <w:color w:val="auto"/>
      <w:sz w:val="24"/>
      <w:szCs w:val="24"/>
    </w:rPr>
  </w:style>
  <w:style w:type="character" w:styleId="Fontepargpadro1" w:customStyle="1">
    <w:name w:val="Fonte parág. padrão1"/>
    <w:qFormat/>
    <w:rPr/>
  </w:style>
  <w:style w:type="character" w:styleId="CabealhoChar" w:customStyle="1">
    <w:name w:val="Cabeçalho Char"/>
    <w:qFormat/>
    <w:rPr>
      <w:sz w:val="24"/>
    </w:rPr>
  </w:style>
  <w:style w:type="character" w:styleId="RodapChar" w:customStyle="1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LinkdaInternet" w:customStyle="1">
    <w:name w:val="Hyperlink"/>
    <w:rPr>
      <w:color w:val="0000FF"/>
      <w:u w:val="single"/>
    </w:rPr>
  </w:style>
  <w:style w:type="character" w:styleId="Caracteresdenotaderodap" w:customStyle="1">
    <w:name w:val="Caracteres de nota de rodapé"/>
    <w:qFormat/>
    <w:rPr>
      <w:vertAlign w:val="superscript"/>
    </w:rPr>
  </w:style>
  <w:style w:type="character" w:styleId="Corpodetexto3Char" w:customStyle="1">
    <w:name w:val="Corpo de texto 3 Char"/>
    <w:qFormat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Pr/>
  </w:style>
  <w:style w:type="character" w:styleId="Ttulo3Char" w:customStyle="1">
    <w:name w:val="Título 3 Char"/>
    <w:qFormat/>
    <w:rPr>
      <w:b/>
      <w:color w:val="00000A"/>
    </w:rPr>
  </w:style>
  <w:style w:type="character" w:styleId="Recuodecorpodetexto3Char" w:customStyle="1">
    <w:name w:val="Recuo de corpo de texto 3 Char"/>
    <w:qFormat/>
    <w:rPr>
      <w:sz w:val="16"/>
      <w:szCs w:val="16"/>
    </w:rPr>
  </w:style>
  <w:style w:type="character" w:styleId="Ttulo8Char" w:customStyle="1">
    <w:name w:val="Título 8 Char"/>
    <w:qFormat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Pr>
      <w:sz w:val="16"/>
      <w:szCs w:val="16"/>
      <w:lang w:eastAsia="zh-CN"/>
    </w:rPr>
  </w:style>
  <w:style w:type="character" w:styleId="Ttulo1Char" w:customStyle="1">
    <w:name w:val="Título 1 Char"/>
    <w:qFormat/>
    <w:rPr>
      <w:b/>
      <w:bCs/>
      <w:sz w:val="24"/>
      <w:lang w:eastAsia="zh-CN"/>
    </w:rPr>
  </w:style>
  <w:style w:type="character" w:styleId="Ttulo2Char" w:customStyle="1">
    <w:name w:val="Título 2 Char"/>
    <w:qFormat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Pr>
      <w:sz w:val="24"/>
      <w:lang w:eastAsia="zh-CN"/>
    </w:rPr>
  </w:style>
  <w:style w:type="character" w:styleId="CorpodetextoChar" w:customStyle="1">
    <w:name w:val="Corpo de texto Char"/>
    <w:qFormat/>
    <w:rPr>
      <w:lang w:eastAsia="zh-CN"/>
    </w:rPr>
  </w:style>
  <w:style w:type="character" w:styleId="CabealhoChar1" w:customStyle="1">
    <w:name w:val="Cabeçalho Char1"/>
    <w:qFormat/>
    <w:rPr>
      <w:sz w:val="24"/>
      <w:lang w:eastAsia="zh-CN"/>
    </w:rPr>
  </w:style>
  <w:style w:type="character" w:styleId="RodapChar1" w:customStyle="1">
    <w:name w:val="Rodapé Char1"/>
    <w:qFormat/>
    <w:rPr>
      <w:sz w:val="24"/>
      <w:lang w:eastAsia="zh-CN"/>
    </w:rPr>
  </w:style>
  <w:style w:type="character" w:styleId="TextodebaloChar1" w:customStyle="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Pr>
      <w:lang w:eastAsia="zh-CN"/>
    </w:rPr>
  </w:style>
  <w:style w:type="character" w:styleId="TtuloChar1" w:customStyle="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 w:customStyle="1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qFormat/>
    <w:rPr>
      <w:vertAlign w:val="superscript"/>
    </w:rPr>
  </w:style>
  <w:style w:type="character" w:styleId="Numeraodelinhas" w:customStyle="1">
    <w:name w:val="Line Number"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Strong">
    <w:name w:val="Strong"/>
    <w:qFormat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Nivel2Char" w:customStyle="1">
    <w:name w:val="Nivel 2 Char"/>
    <w:qFormat/>
    <w:rPr>
      <w:rFonts w:ascii="Arial" w:hAnsi="Arial" w:eastAsia="Times New Roman" w:cs="Arial"/>
      <w:color w:val="000000"/>
      <w:sz w:val="24"/>
      <w:szCs w:val="24"/>
    </w:rPr>
  </w:style>
  <w:style w:type="character" w:styleId="Nivel1Char" w:customStyle="1">
    <w:name w:val="Nivel1 Char"/>
    <w:qFormat/>
    <w:rPr>
      <w:rFonts w:ascii="Arial" w:hAnsi="Arial" w:eastAsia="0" w:cs="Arial"/>
      <w:b/>
      <w:color w:val="000000"/>
      <w:sz w:val="32"/>
      <w:szCs w:val="32"/>
    </w:rPr>
  </w:style>
  <w:style w:type="character" w:styleId="CitaoChar" w:customStyle="1">
    <w:name w:val="Citação Char"/>
    <w:qFormat/>
    <w:rPr>
      <w:rFonts w:ascii="Arial" w:hAnsi="Arial" w:eastAsia="Calibri" w:cs="Tahoma"/>
      <w:i/>
      <w:iCs/>
      <w:color w:val="000000"/>
      <w:sz w:val="20"/>
      <w:shd w:fill="FFFFCC" w:val="clear"/>
    </w:rPr>
  </w:style>
  <w:style w:type="character" w:styleId="A6" w:customStyle="1">
    <w:name w:val="A6"/>
    <w:qFormat/>
    <w:rPr>
      <w:color w:val="000000"/>
      <w:sz w:val="18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31" w:customStyle="1">
    <w:name w:val="Título3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1" w:customStyle="1">
    <w:name w:val="Título2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1"/>
    <w:basedOn w:val="Normal"/>
    <w:next w:val="Corpodotexto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20"/>
        <w:tab w:val="center" w:pos="4419" w:leader="none"/>
        <w:tab w:val="right" w:pos="8838" w:leader="none"/>
      </w:tabs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lear" w:pos="720"/>
        <w:tab w:val="center" w:pos="4419" w:leader="none"/>
        <w:tab w:val="right" w:pos="8838" w:leader="none"/>
      </w:tabs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t-BR" w:bidi="ar-SA"/>
    </w:rPr>
  </w:style>
  <w:style w:type="paragraph" w:styleId="Corpodetexto31" w:customStyle="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pPr>
      <w:suppressLineNumbers/>
    </w:pPr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etabela"/>
    <w:qFormat/>
    <w:pPr>
      <w:jc w:val="center"/>
    </w:pPr>
    <w:rPr>
      <w:b/>
      <w:bCs/>
    </w:rPr>
  </w:style>
  <w:style w:type="paragraph" w:styleId="Recuodecorpodetexto31" w:customStyle="1">
    <w:name w:val="Recuo de corpo de texto 31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WW-Textosimples" w:customStyle="1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eastAsia="en-US" w:val="pt-BR" w:bidi="ar-SA"/>
    </w:rPr>
  </w:style>
  <w:style w:type="paragraph" w:styleId="Indentado0" w:customStyle="1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Nivel1" w:customStyle="1">
    <w:name w:val="Nivel1"/>
    <w:next w:val="Normal"/>
    <w:qFormat/>
    <w:pPr>
      <w:widowControl/>
      <w:bidi w:val="0"/>
      <w:spacing w:lineRule="auto" w:line="276" w:before="480" w:after="120"/>
      <w:jc w:val="both"/>
    </w:pPr>
    <w:rPr>
      <w:rFonts w:ascii="Arial" w:hAnsi="Arial" w:cs="Arial" w:eastAsia="Times New Roman"/>
      <w:color w:val="000000"/>
      <w:kern w:val="0"/>
      <w:sz w:val="32"/>
      <w:szCs w:val="32"/>
      <w:lang w:eastAsia="en-US" w:val="pt-BR" w:bidi="ar-SA"/>
    </w:rPr>
  </w:style>
  <w:style w:type="paragraph" w:styleId="Nivel01" w:customStyle="1">
    <w:name w:val="Nivel 01"/>
    <w:qFormat/>
    <w:pPr>
      <w:keepNext w:val="true"/>
      <w:keepLines/>
      <w:widowControl/>
      <w:tabs>
        <w:tab w:val="clear" w:pos="720"/>
        <w:tab w:val="left" w:pos="567" w:leader="none"/>
      </w:tabs>
      <w:bidi w:val="0"/>
      <w:spacing w:before="240" w:after="0"/>
      <w:jc w:val="both"/>
    </w:pPr>
    <w:rPr>
      <w:rFonts w:ascii="Ecofont_Spranq_eco_Sans" w:hAnsi="Ecofont_Spranq_eco_Sans" w:eastAsia="MS Gothic" w:cs="Times New Roman"/>
      <w:b/>
      <w:bCs/>
      <w:color w:val="000000"/>
      <w:kern w:val="0"/>
      <w:sz w:val="20"/>
      <w:szCs w:val="20"/>
      <w:lang w:val="pt-BR" w:eastAsia="pt-BR" w:bidi="ar-SA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eastAsia="zh-CN" w:bidi="hi-IN" w:val="pt-BR"/>
    </w:rPr>
  </w:style>
  <w:style w:type="paragraph" w:styleId="TableParagraph" w:customStyle="1">
    <w:name w:val="Table Paragraph"/>
    <w:basedOn w:val="Normal"/>
    <w:qFormat/>
    <w:pPr>
      <w:widowControl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Nivel3" w:customStyle="1">
    <w:name w:val="Nivel 3"/>
    <w:qFormat/>
    <w:pPr>
      <w:widowControl/>
      <w:tabs>
        <w:tab w:val="clear" w:pos="720"/>
        <w:tab w:val="left" w:pos="360" w:leader="none"/>
      </w:tabs>
      <w:bidi w:val="0"/>
      <w:spacing w:lineRule="auto" w:line="276" w:before="120" w:after="120"/>
      <w:ind w:left="425" w:hanging="0"/>
      <w:contextualSpacing/>
      <w:jc w:val="both"/>
    </w:pPr>
    <w:rPr>
      <w:rFonts w:ascii="Arial" w:hAnsi="Arial" w:cs="Arial" w:eastAsia="Times New Roman"/>
      <w:color w:val="auto"/>
      <w:kern w:val="0"/>
      <w:sz w:val="20"/>
      <w:szCs w:val="20"/>
      <w:lang w:val="pt-BR" w:eastAsia="pt-BR" w:bidi="ar-SA"/>
    </w:rPr>
  </w:style>
  <w:style w:type="paragraph" w:styleId="Nivel2" w:customStyle="1">
    <w:name w:val="Nivel 2"/>
    <w:basedOn w:val="Normal"/>
    <w:qFormat/>
    <w:pPr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Citao2" w:customStyle="1">
    <w:name w:val="citação 2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uppressAutoHyphens w:val="true"/>
      <w:bidi w:val="0"/>
      <w:spacing w:before="120" w:after="0"/>
      <w:jc w:val="both"/>
    </w:pPr>
    <w:rPr>
      <w:rFonts w:ascii="Arial" w:hAnsi="Arial" w:eastAsia="Calibri" w:cs="Tahoma"/>
      <w:i/>
      <w:iCs/>
      <w:color w:val="000000"/>
      <w:kern w:val="2"/>
      <w:sz w:val="20"/>
      <w:szCs w:val="20"/>
      <w:lang w:eastAsia="zh-CN" w:bidi="hi-IN" w:val="pt-BR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eastAsia="zh-CN" w:bidi="hi-IN" w:val="pt-BR"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 w:cs="Tahoma"/>
      <w:i/>
      <w:iCs/>
      <w:color w:val="000000"/>
      <w:lang w:eastAsia="en-US"/>
    </w:rPr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eastAsia="Tahoma" w:ascii="Times New Roman" w:hAnsi="Times New Roman" w:cs="Times New Roman"/>
      <w:color w:val="auto"/>
      <w:kern w:val="0"/>
      <w:sz w:val="20"/>
      <w:szCs w:val="20"/>
      <w:lang w:val="pt-BR" w:eastAsia="pt-BR" w:bidi="ar-SA"/>
    </w:rPr>
  </w:style>
  <w:style w:type="paragraph" w:styleId="Subttulo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DY/NDmn6yLh/qIf7BuAoU1e+iBA==">CgMxLjAaHwoBMBIaChgICVIUChJ0YWJsZS5hczcxcXUzN3hxeTM4AGpLCjVzdWdnZXN0SWRJbXBvcnQwYjRjODMwZC00OTUxLTRiMGUtOGM5Ny03ZjcyNjIwMGI4YzBfMhISQXV0b3IgZGVzY29uaGVjaWRvaksKNXN1Z2dlc3RJZEltcG9ydDBiNGM4MzBkLTQ5NTEtNGIwZS04Yzk3LTdmNzI2MjAwYjhjMF80EhJBdXRvciBkZXNjb25oZWNpZG9qSwo1c3VnZ2VzdElkSW1wb3J0MGI0YzgzMGQtNDk1MS00YjBlLThjOTctN2Y3MjYyMDBiOGMwXzMSEkF1dG9yIGRlc2NvbmhlY2lkb3IhMUl0U3hnRUQ0cHpDY1RNd0hPWTZoSmFLZ2RsQ1JfcTF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LibreOffice/7.5.7.1$Windows_X86_64 LibreOffice_project/47eb0cf7efbacdee9b19ae25d6752381ede23126</Application>
  <AppVersion>15.0000</AppVersion>
  <Pages>6</Pages>
  <Words>2315</Words>
  <Characters>13110</Characters>
  <CharactersWithSpaces>15310</CharactersWithSpaces>
  <Paragraphs>172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2025-09-03T16:03:00Z</dcterms:created>
  <dc:creator>PMSGP</dc:creator>
  <dc:description/>
  <dc:language>pt-BR</dc:language>
  <cp:lastModifiedBy/>
  <cp:lastPrinted>2025-09-03T13:13:30Z</cp:lastPrinted>
  <dcterms:modified xsi:type="dcterms:W3CDTF">2025-09-03T13:13:37Z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